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6A59EFD"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3654E4" w:rsidRPr="003654E4">
        <w:rPr>
          <w:bCs/>
          <w:noProof w:val="0"/>
          <w:sz w:val="24"/>
          <w:szCs w:val="24"/>
        </w:rPr>
        <w:t>R2-1900628</w:t>
      </w:r>
    </w:p>
    <w:p w14:paraId="231362B2" w14:textId="467B02EC"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7ED27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2117">
        <w:rPr>
          <w:rFonts w:cs="Arial"/>
          <w:b/>
          <w:bCs/>
          <w:sz w:val="24"/>
          <w:lang w:eastAsia="ja-JP"/>
        </w:rPr>
        <w:t>11</w:t>
      </w:r>
      <w:r w:rsidR="002747EC">
        <w:rPr>
          <w:rFonts w:cs="Arial"/>
          <w:b/>
          <w:bCs/>
          <w:sz w:val="24"/>
          <w:lang w:eastAsia="ja-JP"/>
        </w:rPr>
        <w:t>.</w:t>
      </w:r>
      <w:r w:rsidR="00132117">
        <w:rPr>
          <w:rFonts w:cs="Arial"/>
          <w:b/>
          <w:bCs/>
          <w:sz w:val="24"/>
          <w:lang w:eastAsia="ja-JP"/>
        </w:rPr>
        <w:t>1</w:t>
      </w:r>
      <w:r w:rsidR="002747EC">
        <w:rPr>
          <w:rFonts w:cs="Arial"/>
          <w:b/>
          <w:bCs/>
          <w:sz w:val="24"/>
          <w:lang w:eastAsia="ja-JP"/>
        </w:rPr>
        <w:t>.</w:t>
      </w:r>
      <w:r w:rsidR="00132117">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AD82BB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2117" w:rsidRPr="00132117">
        <w:rPr>
          <w:rFonts w:ascii="Arial" w:hAnsi="Arial" w:cs="Arial"/>
          <w:b/>
          <w:bCs/>
          <w:sz w:val="24"/>
        </w:rPr>
        <w:t>Route redundancy support with multi-connectivity</w:t>
      </w:r>
    </w:p>
    <w:p w14:paraId="3AC3A0B1" w14:textId="6F09136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C6B5D" w:rsidRPr="000C6B5D">
        <w:rPr>
          <w:rFonts w:ascii="Arial" w:hAnsi="Arial" w:cs="Arial"/>
          <w:b/>
          <w:bCs/>
          <w:sz w:val="24"/>
        </w:rPr>
        <w:t>NR_IAB-Core</w:t>
      </w:r>
      <w:r w:rsidR="000C6B5D">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654E4">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6575BAD6" w14:textId="62317B08" w:rsidR="008E7D78" w:rsidRDefault="003654E4" w:rsidP="009D064C">
      <w:r>
        <w:t>The following objective was agreed for specification of IAB [1]</w:t>
      </w:r>
      <w:r w:rsidR="008E7D78">
        <w:t>:</w:t>
      </w:r>
    </w:p>
    <w:tbl>
      <w:tblPr>
        <w:tblStyle w:val="TableGrid"/>
        <w:tblW w:w="0" w:type="auto"/>
        <w:tblLook w:val="04A0" w:firstRow="1" w:lastRow="0" w:firstColumn="1" w:lastColumn="0" w:noHBand="0" w:noVBand="1"/>
      </w:tblPr>
      <w:tblGrid>
        <w:gridCol w:w="9631"/>
      </w:tblGrid>
      <w:tr w:rsidR="003654E4" w14:paraId="0AE97004" w14:textId="77777777" w:rsidTr="003654E4">
        <w:tc>
          <w:tcPr>
            <w:tcW w:w="9631" w:type="dxa"/>
          </w:tcPr>
          <w:p w14:paraId="17B80D78" w14:textId="411E6260" w:rsidR="003654E4" w:rsidRPr="003654E4" w:rsidRDefault="003654E4" w:rsidP="003654E4">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tc>
      </w:tr>
    </w:tbl>
    <w:p w14:paraId="27207F63" w14:textId="3E7399DA" w:rsidR="007C7F11" w:rsidRDefault="007C7F11" w:rsidP="009D064C"/>
    <w:p w14:paraId="57B5D6C7" w14:textId="727A121E" w:rsidR="00645A57" w:rsidRDefault="003654E4" w:rsidP="009D064C">
      <w:r>
        <w:t xml:space="preserve">Two potential mechanisms are mentioned in </w:t>
      </w:r>
      <w:r w:rsidR="00645A57">
        <w:t>section 9.7.8 of</w:t>
      </w:r>
      <w:r>
        <w:t xml:space="preserve"> [2] to ensure route redundancy based on multi-connectivity</w:t>
      </w:r>
      <w:r w:rsidR="00645A57">
        <w:t xml:space="preserve"> of IAB node</w:t>
      </w:r>
      <w:r>
        <w:t xml:space="preserve">: single-MT operating in NR-DC and </w:t>
      </w:r>
      <w:r w:rsidR="00645A57">
        <w:t>support of several independent MT functions in the IAB node:</w:t>
      </w:r>
    </w:p>
    <w:tbl>
      <w:tblPr>
        <w:tblStyle w:val="TableGrid"/>
        <w:tblW w:w="0" w:type="auto"/>
        <w:tblLook w:val="04A0" w:firstRow="1" w:lastRow="0" w:firstColumn="1" w:lastColumn="0" w:noHBand="0" w:noVBand="1"/>
      </w:tblPr>
      <w:tblGrid>
        <w:gridCol w:w="9631"/>
      </w:tblGrid>
      <w:tr w:rsidR="00645A57" w14:paraId="5FEF1374" w14:textId="77777777" w:rsidTr="00645A57">
        <w:tc>
          <w:tcPr>
            <w:tcW w:w="9631" w:type="dxa"/>
          </w:tcPr>
          <w:p w14:paraId="71CA3E40" w14:textId="77777777" w:rsidR="00645A57" w:rsidRPr="00E23CFA" w:rsidRDefault="00645A57" w:rsidP="00645A57">
            <w:pPr>
              <w:pStyle w:val="Heading3"/>
            </w:pPr>
            <w:bookmarkStart w:id="0" w:name="_Toc534901218"/>
            <w:r w:rsidRPr="00E23CFA">
              <w:t>9.7.8</w:t>
            </w:r>
            <w:r w:rsidRPr="00E23CFA">
              <w:tab/>
              <w:t>Goals of Topological Redundancy</w:t>
            </w:r>
            <w:bookmarkEnd w:id="0"/>
          </w:p>
          <w:p w14:paraId="088FC896" w14:textId="761A63F5" w:rsidR="00645A57" w:rsidRPr="00E23CFA" w:rsidRDefault="00645A57" w:rsidP="00645A57">
            <w:r>
              <w:rPr>
                <w:rFonts w:eastAsia="Malgun Gothic"/>
              </w:rPr>
              <w:t>(…)</w:t>
            </w:r>
          </w:p>
          <w:p w14:paraId="0F0ED79F" w14:textId="77777777" w:rsidR="00645A57" w:rsidRPr="00E23CFA" w:rsidRDefault="00645A57" w:rsidP="00645A57">
            <w:pPr>
              <w:rPr>
                <w:rFonts w:eastAsia="Malgun Gothic"/>
              </w:rPr>
            </w:pPr>
            <w:r w:rsidRPr="00E23CFA">
              <w:rPr>
                <w:rFonts w:eastAsia="Malgun Gothic"/>
              </w:rPr>
              <w:t>Multi-connectivity of IAB-node (Case 2 above) can be supported by:</w:t>
            </w:r>
          </w:p>
          <w:p w14:paraId="477299EC" w14:textId="77777777" w:rsidR="00645A57" w:rsidRPr="00E23CFA" w:rsidRDefault="00645A57" w:rsidP="00645A57">
            <w:pPr>
              <w:pStyle w:val="B1"/>
              <w:rPr>
                <w:rFonts w:eastAsia="Malgun Gothic"/>
              </w:rPr>
            </w:pPr>
            <w:r w:rsidRPr="00E23CFA">
              <w:rPr>
                <w:rFonts w:eastAsia="Malgun Gothic"/>
                <w:lang w:eastAsia="ko-KR"/>
              </w:rPr>
              <w:t>-</w:t>
            </w:r>
            <w:r w:rsidRPr="00E23CFA">
              <w:rPr>
                <w:rFonts w:eastAsia="Malgun Gothic"/>
                <w:lang w:eastAsia="ko-KR"/>
              </w:rPr>
              <w:tab/>
            </w:r>
            <w:r w:rsidRPr="00E23CFA">
              <w:rPr>
                <w:rFonts w:eastAsia="Malgun Gothic"/>
              </w:rPr>
              <w:t>using a single MT function in the IAB-node,</w:t>
            </w:r>
          </w:p>
          <w:p w14:paraId="1287BE31" w14:textId="77777777" w:rsidR="00645A57" w:rsidRPr="00E23CFA" w:rsidRDefault="00645A57" w:rsidP="00645A57">
            <w:pPr>
              <w:pStyle w:val="B1"/>
              <w:rPr>
                <w:rFonts w:eastAsia="Malgun Gothic"/>
              </w:rPr>
            </w:pPr>
            <w:r w:rsidRPr="00E23CFA">
              <w:rPr>
                <w:rFonts w:eastAsia="Malgun Gothic"/>
                <w:lang w:eastAsia="ko-KR"/>
              </w:rPr>
              <w:t>-</w:t>
            </w:r>
            <w:r w:rsidRPr="00E23CFA">
              <w:rPr>
                <w:rFonts w:eastAsia="Malgun Gothic"/>
                <w:lang w:eastAsia="ko-KR"/>
              </w:rPr>
              <w:tab/>
            </w:r>
            <w:r w:rsidRPr="00E23CFA">
              <w:rPr>
                <w:rFonts w:eastAsia="Malgun Gothic"/>
              </w:rPr>
              <w:t>using several independent MT functions in the IAB-node, where each MT function makes an independent connection to the network (using normal MT setup).</w:t>
            </w:r>
          </w:p>
          <w:p w14:paraId="7C980DE7" w14:textId="77777777" w:rsidR="00645A57" w:rsidRPr="00E23CFA" w:rsidRDefault="00645A57" w:rsidP="00645A57">
            <w:pPr>
              <w:rPr>
                <w:rFonts w:eastAsia="Malgun Gothic"/>
              </w:rPr>
            </w:pPr>
            <w:r w:rsidRPr="00E23CFA">
              <w:rPr>
                <w:rFonts w:eastAsia="Malgun Gothic"/>
              </w:rPr>
              <w:t>Regardless of whether a single MT or multiple MT connections are used, the IAB-node will be configured with multiple backhaul RLC-channels associated with the different paths.</w:t>
            </w:r>
          </w:p>
          <w:p w14:paraId="3AB8D5CE" w14:textId="705A4848" w:rsidR="00645A57" w:rsidRDefault="00645A57" w:rsidP="00645A57">
            <w:r w:rsidRPr="00E23CFA">
              <w:rPr>
                <w:rFonts w:eastAsia="Malgun Gothic"/>
              </w:rPr>
              <w:t xml:space="preserve">Multi-connectivity solutions designed for IAB should </w:t>
            </w:r>
            <w:proofErr w:type="gramStart"/>
            <w:r w:rsidRPr="00E23CFA">
              <w:rPr>
                <w:rFonts w:eastAsia="Malgun Gothic"/>
              </w:rPr>
              <w:t>take into account</w:t>
            </w:r>
            <w:proofErr w:type="gramEnd"/>
            <w:r w:rsidRPr="00E23CFA">
              <w:rPr>
                <w:rFonts w:eastAsia="Malgun Gothic"/>
              </w:rPr>
              <w:t xml:space="preserve"> the protocol stacks available at the IAB-node and IAB-donor depending on the architecture. This means that, for example, in some alternatives for architecture group 1a, a multi-path framework needs to be designed potentially based on the adaptation layer.</w:t>
            </w:r>
          </w:p>
        </w:tc>
      </w:tr>
    </w:tbl>
    <w:p w14:paraId="10C9EE76" w14:textId="171F244E" w:rsidR="003654E4" w:rsidRDefault="003654E4" w:rsidP="009D064C"/>
    <w:p w14:paraId="20C07E1C" w14:textId="49172E27" w:rsidR="00645A57" w:rsidRPr="009D064C" w:rsidRDefault="00645A57" w:rsidP="009D064C">
      <w:r>
        <w:t>In this contribution we attempt to compare the effort required to specify dual connectivity with either of these options.</w:t>
      </w:r>
    </w:p>
    <w:p w14:paraId="127ACA6D" w14:textId="2853935D" w:rsidR="00CD4C7B" w:rsidRPr="00803054" w:rsidRDefault="00626B3E" w:rsidP="00CD4C7B">
      <w:pPr>
        <w:pStyle w:val="Heading1"/>
      </w:pPr>
      <w:r w:rsidRPr="00803054">
        <w:t>3</w:t>
      </w:r>
      <w:r w:rsidR="00CD4C7B" w:rsidRPr="00803054">
        <w:tab/>
      </w:r>
      <w:r w:rsidR="00645A57">
        <w:t>Topology management aspects</w:t>
      </w:r>
    </w:p>
    <w:p w14:paraId="0BB47352" w14:textId="7A941DB6" w:rsidR="00CD4C7B" w:rsidRPr="00803054" w:rsidRDefault="009D259F" w:rsidP="00CD4C7B">
      <w:r>
        <w:t>Topology management</w:t>
      </w:r>
      <w:r w:rsidR="00645A57">
        <w:t xml:space="preserve"> aspects for architecture 1a</w:t>
      </w:r>
      <w:r>
        <w:t xml:space="preserve"> related to redundant routes</w:t>
      </w:r>
      <w:r w:rsidR="00645A57">
        <w:t xml:space="preserve"> are captured in section 9.7.9 of [2]</w:t>
      </w:r>
      <w:r>
        <w:t xml:space="preserve"> and the overview is copied below:</w:t>
      </w:r>
    </w:p>
    <w:p w14:paraId="3E3C9000" w14:textId="77777777" w:rsidR="00C2037D" w:rsidRPr="00803054" w:rsidRDefault="00C2037D" w:rsidP="00CD4C7B"/>
    <w:tbl>
      <w:tblPr>
        <w:tblStyle w:val="TableGrid"/>
        <w:tblW w:w="0" w:type="auto"/>
        <w:tblLook w:val="04A0" w:firstRow="1" w:lastRow="0" w:firstColumn="1" w:lastColumn="0" w:noHBand="0" w:noVBand="1"/>
      </w:tblPr>
      <w:tblGrid>
        <w:gridCol w:w="9631"/>
      </w:tblGrid>
      <w:tr w:rsidR="00C2037D" w14:paraId="4E47B547" w14:textId="77777777" w:rsidTr="00C2037D">
        <w:tc>
          <w:tcPr>
            <w:tcW w:w="9631" w:type="dxa"/>
          </w:tcPr>
          <w:p w14:paraId="7DDA788D" w14:textId="77777777" w:rsidR="00C2037D" w:rsidRPr="00C2037D" w:rsidRDefault="00C2037D" w:rsidP="00C2037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 w:name="_Toc534901219"/>
            <w:r w:rsidRPr="00C2037D">
              <w:rPr>
                <w:rFonts w:ascii="Arial" w:hAnsi="Arial"/>
                <w:sz w:val="28"/>
                <w:lang w:eastAsia="x-none"/>
              </w:rPr>
              <w:lastRenderedPageBreak/>
              <w:t>9.7.9</w:t>
            </w:r>
            <w:r w:rsidRPr="00C2037D">
              <w:rPr>
                <w:rFonts w:ascii="Arial" w:hAnsi="Arial"/>
                <w:sz w:val="28"/>
                <w:lang w:eastAsia="x-none"/>
              </w:rPr>
              <w:tab/>
              <w:t>Adding redundant routes in architecture 1a</w:t>
            </w:r>
            <w:bookmarkEnd w:id="1"/>
          </w:p>
          <w:p w14:paraId="414FC69D" w14:textId="77777777" w:rsidR="00C2037D" w:rsidRPr="00C2037D" w:rsidRDefault="00C2037D" w:rsidP="00C2037D">
            <w:pPr>
              <w:keepNext/>
              <w:keepLines/>
              <w:overflowPunct w:val="0"/>
              <w:autoSpaceDE w:val="0"/>
              <w:autoSpaceDN w:val="0"/>
              <w:adjustRightInd w:val="0"/>
              <w:spacing w:before="60"/>
              <w:jc w:val="center"/>
              <w:textAlignment w:val="baseline"/>
              <w:rPr>
                <w:rFonts w:ascii="Arial" w:eastAsia="Malgun Gothic" w:hAnsi="Arial"/>
                <w:b/>
                <w:lang w:eastAsia="ja-JP"/>
              </w:rPr>
            </w:pPr>
            <w:r w:rsidRPr="00C2037D">
              <w:rPr>
                <w:rFonts w:ascii="Arial" w:eastAsia="Malgun Gothic" w:hAnsi="Arial"/>
                <w:b/>
                <w:lang w:eastAsia="ja-JP"/>
              </w:rPr>
              <w:object w:dxaOrig="14638" w:dyaOrig="8810" w14:anchorId="1A74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68.6pt" o:ole="">
                  <v:imagedata r:id="rId12" o:title=""/>
                </v:shape>
                <o:OLEObject Type="Embed" ProgID="Visio.Drawing.11" ShapeID="_x0000_i1025" DrawAspect="Content" ObjectID="_1611666569" r:id="rId13"/>
              </w:object>
            </w:r>
          </w:p>
          <w:p w14:paraId="2C834596" w14:textId="77777777" w:rsidR="00C2037D" w:rsidRPr="00C2037D" w:rsidRDefault="00C2037D" w:rsidP="00C2037D">
            <w:pPr>
              <w:keepLines/>
              <w:overflowPunct w:val="0"/>
              <w:autoSpaceDE w:val="0"/>
              <w:autoSpaceDN w:val="0"/>
              <w:adjustRightInd w:val="0"/>
              <w:spacing w:after="240"/>
              <w:jc w:val="center"/>
              <w:textAlignment w:val="baseline"/>
              <w:rPr>
                <w:rFonts w:ascii="Arial" w:hAnsi="Arial"/>
                <w:b/>
                <w:lang w:eastAsia="x-none"/>
              </w:rPr>
            </w:pPr>
            <w:r w:rsidRPr="00C2037D">
              <w:rPr>
                <w:rFonts w:ascii="Arial" w:hAnsi="Arial"/>
                <w:b/>
                <w:lang w:eastAsia="x-none"/>
              </w:rPr>
              <w:t>Figure 9.7.9-1: Topology adaptation to create redundant routes for green IAB-node.</w:t>
            </w:r>
          </w:p>
          <w:p w14:paraId="67E81A59" w14:textId="5A7F733D" w:rsidR="00C2037D" w:rsidRPr="00C2037D" w:rsidRDefault="00C2037D" w:rsidP="009D259F">
            <w:pPr>
              <w:keepLines/>
              <w:overflowPunct w:val="0"/>
              <w:autoSpaceDE w:val="0"/>
              <w:autoSpaceDN w:val="0"/>
              <w:adjustRightInd w:val="0"/>
              <w:ind w:left="1135" w:hanging="851"/>
              <w:textAlignment w:val="baseline"/>
              <w:rPr>
                <w:rFonts w:eastAsia="Malgun Gothic"/>
                <w:lang w:eastAsia="x-none"/>
              </w:rPr>
            </w:pPr>
            <w:r w:rsidRPr="00C2037D">
              <w:rPr>
                <w:lang w:eastAsia="x-none"/>
              </w:rPr>
              <w:t>N</w:t>
            </w:r>
            <w:r w:rsidRPr="00C2037D">
              <w:rPr>
                <w:rFonts w:eastAsia="Malgun Gothic"/>
                <w:lang w:eastAsia="ko-KR"/>
              </w:rPr>
              <w:t>OTE</w:t>
            </w:r>
            <w:r w:rsidRPr="00C2037D">
              <w:rPr>
                <w:lang w:eastAsia="x-none"/>
              </w:rPr>
              <w:t>:</w:t>
            </w:r>
            <w:r w:rsidRPr="00C2037D">
              <w:rPr>
                <w:rFonts w:eastAsia="Malgun Gothic"/>
                <w:lang w:eastAsia="ko-KR"/>
              </w:rPr>
              <w:tab/>
            </w:r>
            <w:proofErr w:type="gramStart"/>
            <w:r w:rsidRPr="00C2037D">
              <w:rPr>
                <w:lang w:eastAsia="x-none"/>
              </w:rPr>
              <w:t>For the purpose of</w:t>
            </w:r>
            <w:proofErr w:type="gramEnd"/>
            <w:r w:rsidRPr="00C2037D">
              <w:rPr>
                <w:lang w:eastAsia="x-none"/>
              </w:rPr>
              <w:t xml:space="preserve"> explanation, the MCG-path and SCG-path in this section are used as an example to indicate two different paths.</w:t>
            </w:r>
          </w:p>
        </w:tc>
      </w:tr>
    </w:tbl>
    <w:p w14:paraId="3884F67D" w14:textId="6674D602" w:rsidR="00CD4C7B" w:rsidRDefault="00CD4C7B" w:rsidP="001B49C9"/>
    <w:p w14:paraId="2B42E551" w14:textId="1F0E370C" w:rsidR="009D259F" w:rsidRDefault="009D259F" w:rsidP="001B49C9">
      <w:r>
        <w:t>As mentioned in the NOTE, MCG/SCG is used as an example, but in general this could also be applicable to multi-MT case. Further in this section, the DC establishment procedure is described:</w:t>
      </w:r>
    </w:p>
    <w:tbl>
      <w:tblPr>
        <w:tblStyle w:val="TableGrid"/>
        <w:tblW w:w="0" w:type="auto"/>
        <w:tblLook w:val="04A0" w:firstRow="1" w:lastRow="0" w:firstColumn="1" w:lastColumn="0" w:noHBand="0" w:noVBand="1"/>
      </w:tblPr>
      <w:tblGrid>
        <w:gridCol w:w="9631"/>
      </w:tblGrid>
      <w:tr w:rsidR="009D259F" w14:paraId="5EB7E06E" w14:textId="77777777" w:rsidTr="009D259F">
        <w:tc>
          <w:tcPr>
            <w:tcW w:w="9631" w:type="dxa"/>
          </w:tcPr>
          <w:p w14:paraId="2407BE85" w14:textId="77777777" w:rsidR="009D259F" w:rsidRPr="00C2037D" w:rsidRDefault="009D259F" w:rsidP="009D259F">
            <w:pPr>
              <w:keepNext/>
              <w:keepLines/>
              <w:overflowPunct w:val="0"/>
              <w:autoSpaceDE w:val="0"/>
              <w:autoSpaceDN w:val="0"/>
              <w:adjustRightInd w:val="0"/>
              <w:spacing w:before="60"/>
              <w:jc w:val="center"/>
              <w:textAlignment w:val="baseline"/>
              <w:rPr>
                <w:rFonts w:ascii="Arial" w:hAnsi="Arial"/>
                <w:b/>
                <w:lang w:eastAsia="ja-JP"/>
              </w:rPr>
            </w:pPr>
            <w:r w:rsidRPr="00C2037D">
              <w:rPr>
                <w:rFonts w:ascii="Arial" w:hAnsi="Arial"/>
                <w:b/>
                <w:lang w:eastAsia="ja-JP"/>
              </w:rPr>
              <w:object w:dxaOrig="22438" w:dyaOrig="11252" w14:anchorId="4247CCE1">
                <v:shape id="_x0000_i1026" type="#_x0000_t75" style="width:473.3pt;height:249.2pt" o:ole="">
                  <v:imagedata r:id="rId14" o:title=""/>
                </v:shape>
                <o:OLEObject Type="Embed" ProgID="Visio.Drawing.11" ShapeID="_x0000_i1026" DrawAspect="Content" ObjectID="_1611666570" r:id="rId15"/>
              </w:object>
            </w:r>
          </w:p>
          <w:p w14:paraId="1331207C" w14:textId="7394EEAD" w:rsidR="009D259F" w:rsidRPr="009D259F" w:rsidRDefault="009D259F" w:rsidP="009D259F">
            <w:pPr>
              <w:keepLines/>
              <w:overflowPunct w:val="0"/>
              <w:autoSpaceDE w:val="0"/>
              <w:autoSpaceDN w:val="0"/>
              <w:adjustRightInd w:val="0"/>
              <w:spacing w:after="240"/>
              <w:jc w:val="center"/>
              <w:textAlignment w:val="baseline"/>
              <w:rPr>
                <w:rFonts w:ascii="Arial" w:hAnsi="Arial"/>
                <w:b/>
                <w:lang w:val="x-none" w:eastAsia="x-none"/>
              </w:rPr>
            </w:pPr>
            <w:r w:rsidRPr="00C2037D">
              <w:rPr>
                <w:rFonts w:ascii="Arial" w:hAnsi="Arial"/>
                <w:b/>
                <w:lang w:val="x-none" w:eastAsia="x-none"/>
              </w:rPr>
              <w:t>Figure 9.7.9-2: Procedure for adding SCG link and redundant route to dual-connecting IAB-node shown in Figure 9.7.9-1</w:t>
            </w:r>
          </w:p>
        </w:tc>
      </w:tr>
    </w:tbl>
    <w:p w14:paraId="7F628D0A" w14:textId="5DBC180B" w:rsidR="009D259F" w:rsidRDefault="009D259F" w:rsidP="001B49C9"/>
    <w:p w14:paraId="13F33FC8" w14:textId="608D1379" w:rsidR="0084155A" w:rsidRDefault="0084155A" w:rsidP="001B49C9">
      <w:r>
        <w:t xml:space="preserve">The steps in blue in the procedure depicted above </w:t>
      </w:r>
      <w:r w:rsidR="000110D0">
        <w:t xml:space="preserve">are related to how routing </w:t>
      </w:r>
      <w:r w:rsidR="00DB4367">
        <w:t xml:space="preserve">neds to updated on both adaptation and IP layers. The former aspect is discussed in our paper in [3] and is completely independent of the chosen multi-connectivity approach. </w:t>
      </w:r>
      <w:r w:rsidR="0026632E">
        <w:t xml:space="preserve">The redundant routes need to be simply indicated to the IAB nodes with some additional guidelines, e.g. on which one of them is preferred or which should </w:t>
      </w:r>
      <w:proofErr w:type="gramStart"/>
      <w:r w:rsidR="0026632E">
        <w:t>utilized</w:t>
      </w:r>
      <w:proofErr w:type="gramEnd"/>
      <w:r w:rsidR="0026632E">
        <w:t xml:space="preserve"> for a certain UE, bearer of the UE or aggregated bearer. </w:t>
      </w:r>
      <w:r w:rsidR="00DB4367">
        <w:t xml:space="preserve">The latter </w:t>
      </w:r>
      <w:r w:rsidR="0026632E">
        <w:t xml:space="preserve">(i.e. IP layer </w:t>
      </w:r>
      <w:proofErr w:type="spellStart"/>
      <w:r w:rsidR="0026632E">
        <w:t>routability</w:t>
      </w:r>
      <w:proofErr w:type="spellEnd"/>
      <w:r w:rsidR="0026632E">
        <w:t xml:space="preserve"> aspect) </w:t>
      </w:r>
      <w:r w:rsidR="00DB4367">
        <w:t>is up to RAN3 to discuss, but there we not foresee any differences.</w:t>
      </w:r>
    </w:p>
    <w:p w14:paraId="0CA02DC5" w14:textId="27CC8579" w:rsidR="00DB4367" w:rsidRDefault="00DB4367" w:rsidP="001B49C9">
      <w:pPr>
        <w:rPr>
          <w:b/>
        </w:rPr>
      </w:pPr>
      <w:r>
        <w:rPr>
          <w:b/>
        </w:rPr>
        <w:t>Observation 1: Both multi-connectivity approaches can be supported with the same (or very similar) routing design and configuration including both adaptation and IP layers.</w:t>
      </w:r>
    </w:p>
    <w:p w14:paraId="183531C2" w14:textId="29BABE6E" w:rsidR="00DB4367" w:rsidRDefault="00C01443" w:rsidP="001B49C9">
      <w:r>
        <w:t xml:space="preserve">The main difference would therefore lie in how the step 1 is executed, i.e. how </w:t>
      </w:r>
      <w:r w:rsidR="00337513">
        <w:t>to establish</w:t>
      </w:r>
      <w:r>
        <w:t xml:space="preserve"> the link to SCG (or redundant link in more general terminology).</w:t>
      </w:r>
      <w:r w:rsidR="00337513">
        <w:t xml:space="preserve"> Since NR-DC is part of late drop of Rel-15, this feature will be automatically available for IAB. It is also possible to reuse current measurement framework for identification of candidate parent nodes to be added as SN in NR-DC. On the other hand, in multi-MT option, each MT could in theory establish its own connection separately. However, several issues need to </w:t>
      </w:r>
      <w:r w:rsidR="00336F60">
        <w:t xml:space="preserve">be </w:t>
      </w:r>
      <w:r w:rsidR="00337513">
        <w:t>considered:</w:t>
      </w:r>
    </w:p>
    <w:p w14:paraId="14357204" w14:textId="21C882CC" w:rsidR="00337513" w:rsidRDefault="00337513" w:rsidP="00337513">
      <w:pPr>
        <w:pStyle w:val="ListParagraph"/>
        <w:numPr>
          <w:ilvl w:val="0"/>
          <w:numId w:val="8"/>
        </w:numPr>
      </w:pPr>
      <w:r>
        <w:t xml:space="preserve">MT and DU functions of the IAB node may </w:t>
      </w:r>
      <w:r w:rsidR="000C4FE3">
        <w:t xml:space="preserve">be able </w:t>
      </w:r>
      <w:r>
        <w:t>to share some hardware components such as RF or antennas</w:t>
      </w:r>
      <w:r w:rsidR="00336F60">
        <w:t>. Integrating more MT functions would complicate the overall design impacting both costs and time to market.</w:t>
      </w:r>
    </w:p>
    <w:p w14:paraId="051ACD34" w14:textId="01F3D678" w:rsidR="00C2037D" w:rsidRDefault="00337513" w:rsidP="0092219F">
      <w:pPr>
        <w:pStyle w:val="ListParagraph"/>
        <w:numPr>
          <w:ilvl w:val="0"/>
          <w:numId w:val="8"/>
        </w:numPr>
      </w:pPr>
      <w:r>
        <w:t xml:space="preserve">There would have to be </w:t>
      </w:r>
      <w:r w:rsidR="00336F60">
        <w:t>some coordination between different MT functions in the IAB node to ensure, e.g. that they do not attempt to connect to the same parent node. This could happen not only during initial connection, but also after BH link failure. Ensuring such coordination in standards would require additional work while this is already given with NR-DC. Alternatively, such coordination could be ensured by implementation, but this could again increase the complexity of the solution.</w:t>
      </w:r>
    </w:p>
    <w:p w14:paraId="02775D6A" w14:textId="025E5882" w:rsidR="00F60F63" w:rsidRDefault="00F60F63" w:rsidP="00F60F63"/>
    <w:p w14:paraId="787630AA" w14:textId="1B7F59AF" w:rsidR="00F60F63" w:rsidRDefault="00F60F63" w:rsidP="00F60F63">
      <w:r>
        <w:t xml:space="preserve">These are just examples, but </w:t>
      </w:r>
      <w:r w:rsidR="00E10ED4">
        <w:t>more issues would probably arise in the process of defining multi-MT support, e.g. related to measurement configuration and reporting, how to decide when to launch the secondary MT function etc.</w:t>
      </w:r>
    </w:p>
    <w:p w14:paraId="3C14C0D7" w14:textId="44826086" w:rsidR="00336F60" w:rsidRPr="00BB27A6" w:rsidRDefault="00BB27A6" w:rsidP="00336F60">
      <w:pPr>
        <w:rPr>
          <w:b/>
        </w:rPr>
      </w:pPr>
      <w:r>
        <w:rPr>
          <w:b/>
        </w:rPr>
        <w:t>Observation 2: Specifying multi-connectivity solution based on multiple MT functions per IAB node would require additional effort from RAN WGs to address issues such as coordination between MT functions, how parent nodes are chosen, how measurements are reported etc. For NR-DC those aspects are already covered by an existing framework.</w:t>
      </w:r>
    </w:p>
    <w:p w14:paraId="4135685A" w14:textId="0DC0F171" w:rsidR="00E10ED4" w:rsidRDefault="00E10ED4" w:rsidP="00337513">
      <w:r>
        <w:lastRenderedPageBreak/>
        <w:t xml:space="preserve">One of the argument used in favour of multi-MT solution was that it could support intra-frequency connections to two parent nodes. However, it should be noted that </w:t>
      </w:r>
      <w:proofErr w:type="gramStart"/>
      <w:r>
        <w:t>exactly the same</w:t>
      </w:r>
      <w:proofErr w:type="gramEnd"/>
      <w:r>
        <w:t xml:space="preserve"> issues would exist for this kind of intra-frequency deployment as for intra-frequency NR-DC:</w:t>
      </w:r>
    </w:p>
    <w:p w14:paraId="5375079B" w14:textId="0D63B958" w:rsidR="00E10ED4" w:rsidRDefault="00E10ED4" w:rsidP="00E10ED4">
      <w:pPr>
        <w:pStyle w:val="ListParagraph"/>
        <w:numPr>
          <w:ilvl w:val="0"/>
          <w:numId w:val="8"/>
        </w:numPr>
      </w:pPr>
      <w:r>
        <w:t>Impacts on RF requirements and performance would have to be an</w:t>
      </w:r>
      <w:r w:rsidR="0064545D">
        <w:t xml:space="preserve">alysed by RAN4 similarly to </w:t>
      </w:r>
      <w:r>
        <w:t>NR-DC case. Even though MT functions would be separated logically, as mentioned above, they would still be co-located in the same node</w:t>
      </w:r>
      <w:r w:rsidR="0064545D">
        <w:t>, so using independent MT functions would not allow to avoid these issues.</w:t>
      </w:r>
    </w:p>
    <w:p w14:paraId="2140E768" w14:textId="534C27EC" w:rsidR="0064545D" w:rsidRDefault="00021D9E" w:rsidP="0064545D">
      <w:pPr>
        <w:pStyle w:val="ListParagraph"/>
        <w:numPr>
          <w:ilvl w:val="0"/>
          <w:numId w:val="8"/>
        </w:numPr>
        <w:rPr>
          <w:lang w:val="en-US" w:eastAsia="en-GB"/>
        </w:rPr>
      </w:pPr>
      <w:r>
        <w:rPr>
          <w:lang w:val="en-US"/>
        </w:rPr>
        <w:t>How d</w:t>
      </w:r>
      <w:r w:rsidR="0064545D">
        <w:rPr>
          <w:lang w:val="en-US"/>
        </w:rPr>
        <w:t xml:space="preserve">ifferent </w:t>
      </w:r>
      <w:r w:rsidR="0064545D" w:rsidRPr="0064545D">
        <w:rPr>
          <w:lang w:val="en-US"/>
        </w:rPr>
        <w:t xml:space="preserve">MTs </w:t>
      </w:r>
      <w:r>
        <w:rPr>
          <w:lang w:val="en-US"/>
        </w:rPr>
        <w:t>will use the</w:t>
      </w:r>
      <w:r w:rsidR="0064545D" w:rsidRPr="0064545D">
        <w:rPr>
          <w:lang w:val="en-US"/>
        </w:rPr>
        <w:t xml:space="preserve"> radio resources</w:t>
      </w:r>
      <w:r>
        <w:rPr>
          <w:lang w:val="en-US"/>
        </w:rPr>
        <w:t xml:space="preserve"> has not been studied during SI phase. </w:t>
      </w:r>
      <w:r w:rsidR="0064545D">
        <w:rPr>
          <w:lang w:val="en-US"/>
        </w:rPr>
        <w:t xml:space="preserve">This </w:t>
      </w:r>
      <w:r>
        <w:rPr>
          <w:lang w:val="en-US"/>
        </w:rPr>
        <w:t>issue is</w:t>
      </w:r>
      <w:r w:rsidR="0064545D">
        <w:rPr>
          <w:lang w:val="en-US"/>
        </w:rPr>
        <w:t xml:space="preserve"> the same as for NR-DC based solution</w:t>
      </w:r>
      <w:r w:rsidR="00B8539C">
        <w:rPr>
          <w:lang w:val="en-US"/>
        </w:rPr>
        <w:t xml:space="preserve"> and would have to be analyzed by RAN1 while it is clearly stated in the WID objectives that additional work from RAN1 to resolve </w:t>
      </w:r>
      <w:r>
        <w:rPr>
          <w:lang w:val="en-US"/>
        </w:rPr>
        <w:t xml:space="preserve">it </w:t>
      </w:r>
      <w:bookmarkStart w:id="2" w:name="_GoBack"/>
      <w:bookmarkEnd w:id="2"/>
      <w:r w:rsidR="00B8539C">
        <w:rPr>
          <w:lang w:val="en-US"/>
        </w:rPr>
        <w:t>will not be performed.</w:t>
      </w:r>
    </w:p>
    <w:p w14:paraId="45CA0C75" w14:textId="2AAC852B" w:rsidR="0064545D" w:rsidRDefault="00B8539C" w:rsidP="0064545D">
      <w:pPr>
        <w:rPr>
          <w:b/>
        </w:rPr>
      </w:pPr>
      <w:r>
        <w:rPr>
          <w:b/>
        </w:rPr>
        <w:t>Observation 3: Intra-frequency multi-connectivity requires the same amount of additional work from RAN1 and RAN4 regardless of whether it is based on NR-DC or multi-MT solution.</w:t>
      </w:r>
    </w:p>
    <w:p w14:paraId="377D7DAA" w14:textId="43DC0371" w:rsidR="00B8539C" w:rsidRDefault="00B8539C" w:rsidP="0064545D">
      <w:r>
        <w:t xml:space="preserve">Additionally, it should be noted that some work related to intra-frequency Dual Connectivity might be performed as part of mobility enhancements or dual connectivity enhancements work item’s while there </w:t>
      </w:r>
      <w:proofErr w:type="gramStart"/>
      <w:r>
        <w:t>is</w:t>
      </w:r>
      <w:proofErr w:type="gramEnd"/>
      <w:r>
        <w:t xml:space="preserve"> no plans to handle multi-MT case which is specific only to IAB.</w:t>
      </w:r>
    </w:p>
    <w:p w14:paraId="6A7CEA01" w14:textId="7EAC32FA" w:rsidR="00B8539C" w:rsidRPr="00B8539C" w:rsidRDefault="00B8539C" w:rsidP="0064545D">
      <w:pPr>
        <w:rPr>
          <w:b/>
        </w:rPr>
      </w:pPr>
      <w:r>
        <w:rPr>
          <w:b/>
        </w:rPr>
        <w:t xml:space="preserve">Observation 4: Aspects of intra-frequency NR-DC may be covered by other work items related to mobility or dual connectivity enhancements and IAB could reuse this, once ready. There is no plan to work on multi-MT case </w:t>
      </w:r>
      <w:r w:rsidR="007A331C">
        <w:rPr>
          <w:b/>
        </w:rPr>
        <w:t xml:space="preserve">in other WIs as it is a solution </w:t>
      </w:r>
      <w:r>
        <w:rPr>
          <w:b/>
        </w:rPr>
        <w:t xml:space="preserve">specific </w:t>
      </w:r>
      <w:r w:rsidR="007A331C">
        <w:rPr>
          <w:b/>
        </w:rPr>
        <w:t>to IAB only.</w:t>
      </w:r>
    </w:p>
    <w:p w14:paraId="25FC0222" w14:textId="6551BCCB" w:rsidR="00337513" w:rsidRPr="00337513" w:rsidRDefault="0079519D" w:rsidP="00337513">
      <w:r>
        <w:t xml:space="preserve">Another argument in favour of multi-MT over NR-DC mentioned by some companies was that it is possible to support more than two parents by introducing, e.g. 3 or 4 MTs into IAB node. Besides the fact that such approach would multiply the issues on the radio side which were mentioned above, it is also not needed in our opinion. As </w:t>
      </w:r>
      <w:r w:rsidR="00337513" w:rsidRPr="00337513">
        <w:t xml:space="preserve">shown in </w:t>
      </w:r>
      <w:r w:rsidR="00337513">
        <w:t>[3], even with maximum two parents per node it is possible to ensure more than 2 redundant routes in the context of the overall IAB topology</w:t>
      </w:r>
      <w:r>
        <w:t xml:space="preserve"> and it is unlikely that all the paths malfunction at the same time. Even in case that happened, this would probably be due to more serious problems and more than two parent nodes would unlikely help in that situation. </w:t>
      </w:r>
    </w:p>
    <w:p w14:paraId="05D16373" w14:textId="6D00B62D" w:rsidR="0084155A" w:rsidRPr="006E13D1" w:rsidRDefault="008D2093" w:rsidP="001B49C9">
      <w:r>
        <w:rPr>
          <w:b/>
        </w:rPr>
        <w:t>Observation 5: Support of more than 2 parent nodes would introduce much additional complexity into IAB design while providing disputable gains.</w:t>
      </w:r>
    </w:p>
    <w:p w14:paraId="654D4A17" w14:textId="77777777" w:rsidR="003654E4" w:rsidRPr="008D2093" w:rsidRDefault="003654E4" w:rsidP="003654E4">
      <w:pPr>
        <w:pStyle w:val="Heading1"/>
      </w:pPr>
      <w:r w:rsidRPr="008D2093">
        <w:t>4</w:t>
      </w:r>
      <w:r w:rsidRPr="008D2093">
        <w:tab/>
        <w:t>Summary</w:t>
      </w:r>
    </w:p>
    <w:p w14:paraId="6120401A" w14:textId="6D062D0A" w:rsidR="003654E4" w:rsidRDefault="008D2093" w:rsidP="003654E4">
      <w:r w:rsidRPr="008D2093">
        <w:t>This pap</w:t>
      </w:r>
      <w:r>
        <w:t>er analyse</w:t>
      </w:r>
      <w:r w:rsidRPr="008D2093">
        <w:t xml:space="preserve">d pros and cons </w:t>
      </w:r>
      <w:r>
        <w:t>of route redundancy support with NR-DC versus using multiple MT functions in a single IAB node. The following was observed:</w:t>
      </w:r>
    </w:p>
    <w:p w14:paraId="676ABFD1" w14:textId="77777777" w:rsidR="008D2093" w:rsidRDefault="008D2093" w:rsidP="008D2093">
      <w:pPr>
        <w:rPr>
          <w:b/>
        </w:rPr>
      </w:pPr>
      <w:r>
        <w:rPr>
          <w:b/>
        </w:rPr>
        <w:t>Observation 1: Both multi-connectivity approaches can be supported with the same (or very similar) routing design and configuration including both adaptation and IP layers.</w:t>
      </w:r>
    </w:p>
    <w:p w14:paraId="054D9C55" w14:textId="77777777" w:rsidR="008D2093" w:rsidRPr="00BB27A6" w:rsidRDefault="008D2093" w:rsidP="008D2093">
      <w:pPr>
        <w:rPr>
          <w:b/>
        </w:rPr>
      </w:pPr>
      <w:r>
        <w:rPr>
          <w:b/>
        </w:rPr>
        <w:t>Observation 2: Specifying multi-connectivity solution based on multiple MT functions per IAB node would require additional effort from RAN WGs to address issues such as coordination between MT functions, how parent nodes are chosen, how measurements are reported etc. For NR-DC those aspects are already covered by an existing framework.</w:t>
      </w:r>
    </w:p>
    <w:p w14:paraId="0D730F78" w14:textId="77777777" w:rsidR="008D2093" w:rsidRDefault="008D2093" w:rsidP="008D2093">
      <w:pPr>
        <w:rPr>
          <w:b/>
        </w:rPr>
      </w:pPr>
      <w:r>
        <w:rPr>
          <w:b/>
        </w:rPr>
        <w:t>Observation 3: Intra-frequency multi-connectivity requires the same amount of additional work from RAN1 and RAN4 regardless of whether it is based on NR-DC or multi-MT solution.</w:t>
      </w:r>
    </w:p>
    <w:p w14:paraId="122536FA" w14:textId="77777777" w:rsidR="008D2093" w:rsidRPr="00B8539C" w:rsidRDefault="008D2093" w:rsidP="008D2093">
      <w:pPr>
        <w:rPr>
          <w:b/>
        </w:rPr>
      </w:pPr>
      <w:r>
        <w:rPr>
          <w:b/>
        </w:rPr>
        <w:t>Observation 4: Aspects of intra-frequency NR-DC may be covered by other work items related to mobility or dual connectivity enhancements and IAB could reuse this, once ready. There is no plan to work on multi-MT case in other WIs as it is a solution specific to IAB only.</w:t>
      </w:r>
    </w:p>
    <w:p w14:paraId="38BADA21" w14:textId="77777777" w:rsidR="008D2093" w:rsidRPr="006E13D1" w:rsidRDefault="008D2093" w:rsidP="008D2093">
      <w:r>
        <w:rPr>
          <w:b/>
        </w:rPr>
        <w:t>Observation 5: Support of more than 2 parent nodes would introduce much additional complexity into IAB design while providing disputable gains.</w:t>
      </w:r>
    </w:p>
    <w:p w14:paraId="20FAC355" w14:textId="3949D317" w:rsidR="008D2093" w:rsidRDefault="008D2093" w:rsidP="003654E4">
      <w:r w:rsidRPr="008D2093">
        <w:t>Base</w:t>
      </w:r>
      <w:r>
        <w:t>d on the analysis and observation it is proposed:</w:t>
      </w:r>
    </w:p>
    <w:p w14:paraId="6033E5A2" w14:textId="780685E8" w:rsidR="008D2093" w:rsidRDefault="008D2093" w:rsidP="003654E4">
      <w:pPr>
        <w:rPr>
          <w:b/>
        </w:rPr>
      </w:pPr>
      <w:r>
        <w:rPr>
          <w:b/>
        </w:rPr>
        <w:t>Proposal 1: Child IAB nodes can be connected to maximum two parent nodes simultaneously.</w:t>
      </w:r>
    </w:p>
    <w:p w14:paraId="2D4C0F31" w14:textId="77A28541" w:rsidR="008D2093" w:rsidRDefault="008D2093" w:rsidP="003654E4">
      <w:pPr>
        <w:rPr>
          <w:b/>
        </w:rPr>
      </w:pPr>
      <w:r>
        <w:rPr>
          <w:b/>
        </w:rPr>
        <w:t xml:space="preserve">Proposal 2: </w:t>
      </w:r>
      <w:r w:rsidR="00247224">
        <w:rPr>
          <w:b/>
        </w:rPr>
        <w:t>RAN2 should work on r</w:t>
      </w:r>
      <w:r>
        <w:rPr>
          <w:b/>
        </w:rPr>
        <w:t>oute redundancy support based on multi-connectivity</w:t>
      </w:r>
      <w:r w:rsidR="00247224">
        <w:rPr>
          <w:b/>
        </w:rPr>
        <w:t xml:space="preserve"> using the NR-DC framework. No work specific to support of multiple MT functions in a single IAB node will be done.</w:t>
      </w:r>
    </w:p>
    <w:p w14:paraId="2D4806EE" w14:textId="1D2FC3A4" w:rsidR="003654E4" w:rsidRPr="003654E4" w:rsidRDefault="003654E4" w:rsidP="003654E4">
      <w:pPr>
        <w:pStyle w:val="Heading1"/>
      </w:pPr>
      <w:r w:rsidRPr="003654E4">
        <w:lastRenderedPageBreak/>
        <w:t>4</w:t>
      </w:r>
      <w:r w:rsidRPr="003654E4">
        <w:tab/>
        <w:t>References</w:t>
      </w:r>
    </w:p>
    <w:p w14:paraId="5524F183" w14:textId="2A3F3972" w:rsidR="00CD4C7B" w:rsidRDefault="003654E4" w:rsidP="00CD4C7B">
      <w:r w:rsidRPr="003654E4">
        <w:t xml:space="preserve">[1] RP-182882, </w:t>
      </w:r>
      <w:r w:rsidRPr="003654E4">
        <w:rPr>
          <w:i/>
        </w:rPr>
        <w:t>New WID: Integrated Access and Backhaul for NR</w:t>
      </w:r>
      <w:r>
        <w:t xml:space="preserve">, </w:t>
      </w:r>
      <w:r w:rsidRPr="003654E4">
        <w:t>Qualcomm</w:t>
      </w:r>
    </w:p>
    <w:p w14:paraId="568B94F7" w14:textId="0084BD5F" w:rsidR="003654E4" w:rsidRDefault="003654E4" w:rsidP="00CD4C7B">
      <w:pPr>
        <w:rPr>
          <w:i/>
        </w:rPr>
      </w:pPr>
      <w:r>
        <w:t xml:space="preserve">[2] 3GPP TR 38.874, </w:t>
      </w:r>
      <w:r w:rsidRPr="003654E4">
        <w:rPr>
          <w:i/>
        </w:rPr>
        <w:t>Study on Integrated Access and Backhaul</w:t>
      </w:r>
    </w:p>
    <w:p w14:paraId="7F618594" w14:textId="75A728A8" w:rsidR="00DB4367" w:rsidRPr="00DB4367" w:rsidRDefault="00DB4367" w:rsidP="00CD4C7B">
      <w:r>
        <w:t xml:space="preserve">[3] </w:t>
      </w:r>
      <w:r w:rsidRPr="00DB4367">
        <w:t>R2-1900626</w:t>
      </w:r>
      <w:r>
        <w:t xml:space="preserve">, </w:t>
      </w:r>
      <w:r w:rsidRPr="00DB4367">
        <w:rPr>
          <w:i/>
        </w:rPr>
        <w:t>Adaptation layer contents and configuration</w:t>
      </w:r>
      <w:r>
        <w:t>, Nokia, Nokia Shanghai Bell</w:t>
      </w:r>
    </w:p>
    <w:p w14:paraId="055200B7" w14:textId="77777777" w:rsidR="00CD4C7B" w:rsidRPr="003654E4" w:rsidRDefault="00CD4C7B" w:rsidP="00CD4C7B"/>
    <w:p w14:paraId="35F222F4" w14:textId="77777777" w:rsidR="00080512" w:rsidRPr="003654E4" w:rsidRDefault="00080512" w:rsidP="00CD4C7B"/>
    <w:sectPr w:rsidR="00080512" w:rsidRPr="003654E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DC2DA0" w:rsidRDefault="00DC2DA0">
      <w:r>
        <w:separator/>
      </w:r>
    </w:p>
  </w:endnote>
  <w:endnote w:type="continuationSeparator" w:id="0">
    <w:p w14:paraId="235087EE" w14:textId="77777777" w:rsidR="00DC2DA0" w:rsidRDefault="00DC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DC2DA0" w:rsidRDefault="00DC2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DC2DA0" w:rsidRDefault="00DC2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DC2DA0" w:rsidRDefault="00DC2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DC2DA0" w:rsidRDefault="00DC2DA0">
      <w:r>
        <w:separator/>
      </w:r>
    </w:p>
  </w:footnote>
  <w:footnote w:type="continuationSeparator" w:id="0">
    <w:p w14:paraId="1DF51829" w14:textId="77777777" w:rsidR="00DC2DA0" w:rsidRDefault="00DC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DC2DA0" w:rsidRDefault="00DC2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DC2DA0" w:rsidRDefault="00DC2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DC2DA0" w:rsidRDefault="00DC2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A860A3"/>
    <w:multiLevelType w:val="hybridMultilevel"/>
    <w:tmpl w:val="A27A92F8"/>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110D0"/>
    <w:rsid w:val="00021D9E"/>
    <w:rsid w:val="00033397"/>
    <w:rsid w:val="00040095"/>
    <w:rsid w:val="00064EDA"/>
    <w:rsid w:val="00080512"/>
    <w:rsid w:val="00090468"/>
    <w:rsid w:val="000B0A78"/>
    <w:rsid w:val="000B7BCF"/>
    <w:rsid w:val="000C4FE3"/>
    <w:rsid w:val="000C5061"/>
    <w:rsid w:val="000C522B"/>
    <w:rsid w:val="000C6B5D"/>
    <w:rsid w:val="000D58AB"/>
    <w:rsid w:val="001021E3"/>
    <w:rsid w:val="00112F1A"/>
    <w:rsid w:val="00132117"/>
    <w:rsid w:val="0013349F"/>
    <w:rsid w:val="00144650"/>
    <w:rsid w:val="00145075"/>
    <w:rsid w:val="00150EF0"/>
    <w:rsid w:val="001726AE"/>
    <w:rsid w:val="001741A0"/>
    <w:rsid w:val="00175FA0"/>
    <w:rsid w:val="00177997"/>
    <w:rsid w:val="00194CD0"/>
    <w:rsid w:val="001B49C9"/>
    <w:rsid w:val="001C4F79"/>
    <w:rsid w:val="001D0089"/>
    <w:rsid w:val="001E6AE1"/>
    <w:rsid w:val="001F168B"/>
    <w:rsid w:val="001F7831"/>
    <w:rsid w:val="00204045"/>
    <w:rsid w:val="0020712B"/>
    <w:rsid w:val="0022606D"/>
    <w:rsid w:val="00231728"/>
    <w:rsid w:val="00247224"/>
    <w:rsid w:val="0025666C"/>
    <w:rsid w:val="002610D8"/>
    <w:rsid w:val="0026632E"/>
    <w:rsid w:val="002747EC"/>
    <w:rsid w:val="002763ED"/>
    <w:rsid w:val="002855BF"/>
    <w:rsid w:val="0028605B"/>
    <w:rsid w:val="002F0D22"/>
    <w:rsid w:val="003172DC"/>
    <w:rsid w:val="00325AE3"/>
    <w:rsid w:val="00326069"/>
    <w:rsid w:val="00336F60"/>
    <w:rsid w:val="00337513"/>
    <w:rsid w:val="0035462D"/>
    <w:rsid w:val="00364B41"/>
    <w:rsid w:val="003654E4"/>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03C8"/>
    <w:rsid w:val="004F3B29"/>
    <w:rsid w:val="00503171"/>
    <w:rsid w:val="00506C28"/>
    <w:rsid w:val="00531E15"/>
    <w:rsid w:val="00534DA0"/>
    <w:rsid w:val="00543E6C"/>
    <w:rsid w:val="00553362"/>
    <w:rsid w:val="005540D7"/>
    <w:rsid w:val="00565087"/>
    <w:rsid w:val="0056573F"/>
    <w:rsid w:val="005B719F"/>
    <w:rsid w:val="00611566"/>
    <w:rsid w:val="00626B3E"/>
    <w:rsid w:val="0064545D"/>
    <w:rsid w:val="00645A57"/>
    <w:rsid w:val="00646D99"/>
    <w:rsid w:val="00656910"/>
    <w:rsid w:val="006C66D8"/>
    <w:rsid w:val="006D1E24"/>
    <w:rsid w:val="006E1417"/>
    <w:rsid w:val="006F6A2C"/>
    <w:rsid w:val="006F6F9B"/>
    <w:rsid w:val="00710201"/>
    <w:rsid w:val="007342B5"/>
    <w:rsid w:val="00734A5B"/>
    <w:rsid w:val="00744E76"/>
    <w:rsid w:val="00757D40"/>
    <w:rsid w:val="00781F0F"/>
    <w:rsid w:val="0078727C"/>
    <w:rsid w:val="0079049D"/>
    <w:rsid w:val="00793DC5"/>
    <w:rsid w:val="0079519D"/>
    <w:rsid w:val="007A331C"/>
    <w:rsid w:val="007B18D8"/>
    <w:rsid w:val="007C095F"/>
    <w:rsid w:val="007C2DD0"/>
    <w:rsid w:val="007C4663"/>
    <w:rsid w:val="007C7F11"/>
    <w:rsid w:val="008028A4"/>
    <w:rsid w:val="00803054"/>
    <w:rsid w:val="00813245"/>
    <w:rsid w:val="0082785C"/>
    <w:rsid w:val="0084155A"/>
    <w:rsid w:val="00870A93"/>
    <w:rsid w:val="008768CA"/>
    <w:rsid w:val="00877EF9"/>
    <w:rsid w:val="00880559"/>
    <w:rsid w:val="00882438"/>
    <w:rsid w:val="008B5306"/>
    <w:rsid w:val="008C3A7D"/>
    <w:rsid w:val="008D2093"/>
    <w:rsid w:val="008D2E4D"/>
    <w:rsid w:val="008E7D78"/>
    <w:rsid w:val="008F396F"/>
    <w:rsid w:val="0090271F"/>
    <w:rsid w:val="00902DB9"/>
    <w:rsid w:val="0090466A"/>
    <w:rsid w:val="00925773"/>
    <w:rsid w:val="00926E73"/>
    <w:rsid w:val="009304A2"/>
    <w:rsid w:val="00936071"/>
    <w:rsid w:val="00940212"/>
    <w:rsid w:val="00942EC2"/>
    <w:rsid w:val="00955223"/>
    <w:rsid w:val="00961B32"/>
    <w:rsid w:val="00962509"/>
    <w:rsid w:val="00970DB3"/>
    <w:rsid w:val="00974BB0"/>
    <w:rsid w:val="009A0AF3"/>
    <w:rsid w:val="009B07CD"/>
    <w:rsid w:val="009C19E9"/>
    <w:rsid w:val="009D064C"/>
    <w:rsid w:val="009D259F"/>
    <w:rsid w:val="009D74A6"/>
    <w:rsid w:val="009E7698"/>
    <w:rsid w:val="009F5877"/>
    <w:rsid w:val="00A10F02"/>
    <w:rsid w:val="00A204CA"/>
    <w:rsid w:val="00A44F8C"/>
    <w:rsid w:val="00A53724"/>
    <w:rsid w:val="00A6222B"/>
    <w:rsid w:val="00A7338B"/>
    <w:rsid w:val="00A76FB3"/>
    <w:rsid w:val="00A82346"/>
    <w:rsid w:val="00A9671C"/>
    <w:rsid w:val="00AA1553"/>
    <w:rsid w:val="00B05380"/>
    <w:rsid w:val="00B05962"/>
    <w:rsid w:val="00B15449"/>
    <w:rsid w:val="00B2098B"/>
    <w:rsid w:val="00B27303"/>
    <w:rsid w:val="00B305D5"/>
    <w:rsid w:val="00B47FD1"/>
    <w:rsid w:val="00B516BB"/>
    <w:rsid w:val="00B84DB2"/>
    <w:rsid w:val="00B8539C"/>
    <w:rsid w:val="00BB27A6"/>
    <w:rsid w:val="00BC3555"/>
    <w:rsid w:val="00BE522F"/>
    <w:rsid w:val="00C01443"/>
    <w:rsid w:val="00C12B51"/>
    <w:rsid w:val="00C2037D"/>
    <w:rsid w:val="00C24650"/>
    <w:rsid w:val="00C25465"/>
    <w:rsid w:val="00C33079"/>
    <w:rsid w:val="00C55569"/>
    <w:rsid w:val="00C8020A"/>
    <w:rsid w:val="00C80C46"/>
    <w:rsid w:val="00C83A13"/>
    <w:rsid w:val="00C9068C"/>
    <w:rsid w:val="00C92967"/>
    <w:rsid w:val="00C930AD"/>
    <w:rsid w:val="00CA3D0C"/>
    <w:rsid w:val="00CA654B"/>
    <w:rsid w:val="00CA6D56"/>
    <w:rsid w:val="00CB72B8"/>
    <w:rsid w:val="00CD4C7B"/>
    <w:rsid w:val="00D00D95"/>
    <w:rsid w:val="00D33BE3"/>
    <w:rsid w:val="00D3792D"/>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B4367"/>
    <w:rsid w:val="00DB4BD8"/>
    <w:rsid w:val="00DC2DA0"/>
    <w:rsid w:val="00DC309B"/>
    <w:rsid w:val="00DC4DA2"/>
    <w:rsid w:val="00E01485"/>
    <w:rsid w:val="00E10ED4"/>
    <w:rsid w:val="00E25789"/>
    <w:rsid w:val="00E4531A"/>
    <w:rsid w:val="00E46C08"/>
    <w:rsid w:val="00E471CF"/>
    <w:rsid w:val="00E51345"/>
    <w:rsid w:val="00E62835"/>
    <w:rsid w:val="00E71249"/>
    <w:rsid w:val="00E75926"/>
    <w:rsid w:val="00E77645"/>
    <w:rsid w:val="00E83697"/>
    <w:rsid w:val="00EB1708"/>
    <w:rsid w:val="00EC4A25"/>
    <w:rsid w:val="00ED34B1"/>
    <w:rsid w:val="00F025A2"/>
    <w:rsid w:val="00F07388"/>
    <w:rsid w:val="00F2026E"/>
    <w:rsid w:val="00F2210A"/>
    <w:rsid w:val="00F37743"/>
    <w:rsid w:val="00F54A3D"/>
    <w:rsid w:val="00F54CB0"/>
    <w:rsid w:val="00F60F63"/>
    <w:rsid w:val="00F653B8"/>
    <w:rsid w:val="00F71B89"/>
    <w:rsid w:val="00F7353C"/>
    <w:rsid w:val="00F76F8F"/>
    <w:rsid w:val="00F87923"/>
    <w:rsid w:val="00F941DF"/>
    <w:rsid w:val="00FA1266"/>
    <w:rsid w:val="00FB36FA"/>
    <w:rsid w:val="00FC1192"/>
    <w:rsid w:val="00FD3180"/>
    <w:rsid w:val="00FE251B"/>
    <w:rsid w:val="00FE2B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853EAB5-29F3-449C-B0AC-7EA7D29B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basedOn w:val="Normal"/>
    <w:uiPriority w:val="34"/>
    <w:qFormat/>
    <w:rsid w:val="000B0A78"/>
    <w:pPr>
      <w:ind w:left="720"/>
      <w:contextualSpacing/>
    </w:pPr>
  </w:style>
  <w:style w:type="paragraph" w:customStyle="1" w:styleId="maintext">
    <w:name w:val="main text"/>
    <w:basedOn w:val="Normal"/>
    <w:link w:val="maintextChar"/>
    <w:qFormat/>
    <w:rsid w:val="003654E4"/>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654E4"/>
    <w:rPr>
      <w:rFonts w:eastAsia="Malgun Gothic" w:cs="Batang"/>
      <w:lang w:eastAsia="ko-KR"/>
    </w:rPr>
  </w:style>
  <w:style w:type="character" w:customStyle="1" w:styleId="B1Char">
    <w:name w:val="B1 Char"/>
    <w:link w:val="B1"/>
    <w:rsid w:val="00645A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7716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5AIRPNAIUNRU-859666464-4722</_dlc_DocId>
    <_dlc_DocIdUrl xmlns="71c5aaf6-e6ce-465b-b873-5148d2a4c105">
      <Url>https://nokia.sharepoint.com/sites/c5g/e2earch/_layouts/15/DocIdRedir.aspx?ID=5AIRPNAIUNRU-859666464-4722</Url>
      <Description>5AIRPNAIUNRU-859666464-4722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a3840f4f-04be-43d1-b2ef-6ff1382503c7"/>
    <ds:schemaRef ds:uri="http://schemas.openxmlformats.org/package/2006/metadata/core-properties"/>
    <ds:schemaRef ds:uri="http://schemas.microsoft.com/office/2006/metadata/properties"/>
    <ds:schemaRef ds:uri="http://purl.org/dc/terms/"/>
    <ds:schemaRef ds:uri="71c5aaf6-e6ce-465b-b873-5148d2a4c105"/>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826</TotalTime>
  <Pages>5</Pages>
  <Words>1486</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33</cp:revision>
  <dcterms:created xsi:type="dcterms:W3CDTF">2016-08-12T03:53:00Z</dcterms:created>
  <dcterms:modified xsi:type="dcterms:W3CDTF">2019-02-14T15:13:00Z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d91a2cba-074b-4937-9962-dd659ccda2f7</vt:lpwstr>
  </property>
</Properties>
</file>